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rPr>
          <w:rFonts w:hint="eastAsia" w:ascii="方正大标宋简体" w:eastAsia="方正大标宋简体"/>
          <w:sz w:val="36"/>
          <w:szCs w:val="36"/>
        </w:rPr>
      </w:pPr>
      <w:r>
        <w:rPr>
          <w:rFonts w:hint="eastAsia" w:ascii="方正大标宋简体" w:eastAsia="方正大标宋简体"/>
          <w:sz w:val="36"/>
          <w:szCs w:val="36"/>
        </w:rPr>
        <w:t>理性投资专栏 | 风险提示案例之虚假申报</w:t>
      </w:r>
    </w:p>
    <w:p>
      <w:pPr>
        <w:widowControl/>
        <w:jc w:val="center"/>
        <w:rPr>
          <w:rFonts w:hint="eastAsia" w:ascii="仿宋" w:hAnsi="仿宋" w:eastAsia="仿宋" w:cs="宋体"/>
          <w:b/>
          <w:bCs/>
          <w:kern w:val="0"/>
          <w:sz w:val="32"/>
          <w:szCs w:val="32"/>
        </w:rPr>
      </w:pPr>
    </w:p>
    <w:p>
      <w:pPr>
        <w:spacing w:line="560" w:lineRule="exact"/>
        <w:ind w:firstLine="640" w:firstLineChars="200"/>
        <w:jc w:val="center"/>
        <w:rPr>
          <w:rFonts w:eastAsia="仿宋"/>
          <w:sz w:val="32"/>
          <w:szCs w:val="30"/>
        </w:rPr>
      </w:pPr>
      <w:r>
        <w:rPr>
          <w:rFonts w:hint="eastAsia" w:eastAsia="仿宋"/>
          <w:sz w:val="32"/>
          <w:szCs w:val="30"/>
        </w:rPr>
        <w:t>【</w:t>
      </w:r>
      <w:r>
        <w:rPr>
          <w:rFonts w:hint="eastAsia" w:ascii="黑体" w:hAnsi="黑体" w:eastAsia="黑体"/>
          <w:sz w:val="32"/>
          <w:szCs w:val="30"/>
        </w:rPr>
        <w:t>案情摘要</w:t>
      </w:r>
      <w:r>
        <w:rPr>
          <w:rFonts w:hint="eastAsia" w:eastAsia="仿宋"/>
          <w:sz w:val="32"/>
          <w:szCs w:val="30"/>
        </w:rPr>
        <w:t>】</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某账户在交易某精选层股票时，于连续竞价阶9:56:52至10:08:55期间，在最优5档内申报买入19笔，合计申报69.99万股、2235.6万元，占市场同方向最优5档剩余有效申报总量的比例较高，并全部撤销。从申报行为来看，该账户多次、大量以低于行情揭示的最近成交价申报，并在短时间内快速撤单；从申报价格来看，该账户的多次申报价格均为全市场投资者都能看到的5档以内的价格。此外，该账户还与其涉嫌关联的其他账户存在反向卖出行为。综合该账户申报价格、剩余有效申报数量、撤单比例、账户组内其他账户反向交易行为，对该账户采取了相应监管措施。</w:t>
      </w:r>
    </w:p>
    <w:p>
      <w:pPr>
        <w:widowControl/>
        <w:jc w:val="left"/>
        <w:rPr>
          <w:rFonts w:ascii="仿宋" w:hAnsi="仿宋" w:eastAsia="仿宋" w:cs="宋体"/>
          <w:kern w:val="0"/>
          <w:sz w:val="32"/>
          <w:szCs w:val="32"/>
        </w:rPr>
      </w:pPr>
      <w:r>
        <w:rPr>
          <w:rFonts w:ascii="仿宋" w:hAnsi="仿宋" w:eastAsia="仿宋" w:cs="宋体"/>
          <w:kern w:val="0"/>
          <w:sz w:val="32"/>
          <w:szCs w:val="32"/>
        </w:rPr>
        <mc:AlternateContent>
          <mc:Choice Requires="wps">
            <w:drawing>
              <wp:inline distT="0" distB="0" distL="0" distR="0">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JZ00gAAAAMBAAAPAAAAAAAAAAEAIAAAACIAAABkcnMvZG93bnJldi54bWxQ&#10;SwECFAAUAAAACACHTuJAwmxCs/0BAADQAwAADgAAAAAAAAABACAAAAAhAQAAZHJzL2Uyb0RvYy54&#10;bWxQSwUGAAAAAAYABgBZAQAAkAUAAAAA&#10;">
                <v:fill on="f" focussize="0,0"/>
                <v:stroke on="f"/>
                <v:imagedata o:title=""/>
                <o:lock v:ext="edit" aspectratio="t"/>
                <w10:wrap type="none"/>
                <w10:anchorlock/>
              </v:rect>
            </w:pict>
          </mc:Fallback>
        </mc:AlternateContent>
      </w:r>
    </w:p>
    <w:p>
      <w:pPr>
        <w:spacing w:line="560" w:lineRule="exact"/>
        <w:ind w:firstLine="640" w:firstLineChars="200"/>
        <w:jc w:val="center"/>
        <w:rPr>
          <w:rFonts w:eastAsia="仿宋"/>
          <w:sz w:val="32"/>
          <w:szCs w:val="30"/>
        </w:rPr>
      </w:pPr>
      <w:r>
        <w:rPr>
          <w:rFonts w:hint="eastAsia" w:eastAsia="仿宋"/>
          <w:sz w:val="32"/>
          <w:szCs w:val="30"/>
        </w:rPr>
        <w:t>【</w:t>
      </w:r>
      <w:r>
        <w:rPr>
          <w:rFonts w:hint="eastAsia" w:ascii="黑体" w:hAnsi="黑体" w:eastAsia="黑体"/>
          <w:sz w:val="32"/>
          <w:szCs w:val="30"/>
        </w:rPr>
        <w:t>法律分析</w:t>
      </w:r>
      <w:r>
        <w:rPr>
          <w:rFonts w:hint="eastAsia" w:eastAsia="仿宋"/>
          <w:sz w:val="32"/>
          <w:szCs w:val="30"/>
        </w:rPr>
        <w:t>】</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该账户的交易行为违反了《全国中小企业股份转让系统</w:t>
      </w:r>
      <w:r>
        <w:rPr>
          <w:rFonts w:hint="eastAsia" w:ascii="仿宋" w:hAnsi="仿宋" w:eastAsia="仿宋" w:cs="宋体"/>
          <w:kern w:val="0"/>
          <w:sz w:val="32"/>
          <w:szCs w:val="32"/>
          <w:lang w:val="en-US" w:eastAsia="zh-CN"/>
        </w:rPr>
        <w:t>交易</w:t>
      </w:r>
      <w:bookmarkStart w:id="0" w:name="_GoBack"/>
      <w:bookmarkEnd w:id="0"/>
      <w:r>
        <w:rPr>
          <w:rFonts w:ascii="仿宋" w:hAnsi="仿宋" w:eastAsia="仿宋" w:cs="宋体"/>
          <w:kern w:val="0"/>
          <w:sz w:val="32"/>
          <w:szCs w:val="32"/>
        </w:rPr>
        <w:t>规则》关于“频繁申报或撤销申报，或大额申报后撤销申报，以影响股票交易价格或误导其他投资者”的规定。</w:t>
      </w:r>
    </w:p>
    <w:p>
      <w:pPr>
        <w:widowControl/>
        <w:jc w:val="left"/>
        <w:rPr>
          <w:rFonts w:ascii="仿宋" w:hAnsi="仿宋" w:eastAsia="仿宋" w:cs="宋体"/>
          <w:kern w:val="0"/>
          <w:sz w:val="32"/>
          <w:szCs w:val="32"/>
        </w:rPr>
      </w:pPr>
    </w:p>
    <w:p>
      <w:pPr>
        <w:spacing w:line="560" w:lineRule="exact"/>
        <w:ind w:firstLine="640" w:firstLineChars="200"/>
        <w:jc w:val="center"/>
        <w:rPr>
          <w:rFonts w:eastAsia="仿宋"/>
          <w:sz w:val="32"/>
          <w:szCs w:val="30"/>
        </w:rPr>
      </w:pPr>
      <w:r>
        <w:rPr>
          <w:rFonts w:hint="eastAsia" w:eastAsia="仿宋"/>
          <w:sz w:val="32"/>
          <w:szCs w:val="30"/>
        </w:rPr>
        <w:t>【</w:t>
      </w:r>
      <w:r>
        <w:rPr>
          <w:rFonts w:hint="eastAsia" w:ascii="黑体" w:hAnsi="黑体" w:eastAsia="黑体"/>
          <w:sz w:val="32"/>
          <w:szCs w:val="30"/>
        </w:rPr>
        <w:t>风险警示</w:t>
      </w:r>
      <w:r>
        <w:rPr>
          <w:rFonts w:eastAsia="仿宋"/>
          <w:sz w:val="32"/>
          <w:szCs w:val="30"/>
        </w:rPr>
        <w:t>】</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证券市场投资者交易需求应具有真实性，真实的交易需求产生的成交量是其他投资者做出交易决策的重要参考。投资者虚假申报行为形成了不真实的交易需求，误导了其他不特定投资者，损害了证券市场的基本功能和其他投资者的合法权益。此类行为是全国股转公司重点监控的交易违规行为，一旦发生将被采取相应监管措施，投资者应当予以重视。</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2F"/>
    <w:rsid w:val="00642E6B"/>
    <w:rsid w:val="00C4452F"/>
    <w:rsid w:val="5EDE5EF4"/>
    <w:rsid w:val="7D91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7">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Words>
  <Characters>470</Characters>
  <Lines>3</Lines>
  <Paragraphs>1</Paragraphs>
  <TotalTime>1</TotalTime>
  <ScaleCrop>false</ScaleCrop>
  <LinksUpToDate>false</LinksUpToDate>
  <CharactersWithSpaces>551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2021-11-09T12:16:00Z</dcterms:created>
  <dc:creator>anty</dc:creator>
  <cp:lastModifiedBy>Acer</cp:lastModifiedBy>
  <dcterms:modified xsi:type="dcterms:W3CDTF">2021-11-25T06:16:28Z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